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er"/>
        <w:jc w:val="left"/>
        <w:rPr>
          <w:rFonts w:ascii="Calibri" w:hAnsi="Calibri" w:cs="Calibri"/>
          <w:b/>
          <w:b/>
          <w:sz w:val="22"/>
          <w:lang w:val="ru-RU" w:eastAsia="ru-RU"/>
        </w:rPr>
      </w:pPr>
      <w:r>
        <w:rPr>
          <w:rFonts w:cs="Calibri" w:ascii="Calibri" w:hAnsi="Calibri"/>
          <w:b/>
          <w:sz w:val="22"/>
          <w:lang w:val="ru-RU" w:eastAsia="ru-RU"/>
        </w:rPr>
        <w:drawing>
          <wp:inline distT="0" distB="0" distL="0" distR="0">
            <wp:extent cx="2560320" cy="36258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" t="-22" r="-3" b="-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36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er"/>
        <w:jc w:val="right"/>
        <w:rPr>
          <w:rFonts w:cs="Calibri"/>
          <w:bCs/>
          <w:i/>
          <w:i/>
          <w:iCs/>
          <w:sz w:val="18"/>
          <w:szCs w:val="18"/>
          <w:lang w:val="ru-RU"/>
        </w:rPr>
      </w:pPr>
      <w:r>
        <w:rPr>
          <w:rFonts w:cs="Arial"/>
          <w:bCs/>
          <w:i/>
          <w:iCs/>
          <w:sz w:val="18"/>
          <w:szCs w:val="18"/>
        </w:rPr>
        <w:t xml:space="preserve"> </w:t>
      </w:r>
      <w:r>
        <w:rPr>
          <w:rFonts w:cs="Calibri"/>
          <w:bCs/>
          <w:i/>
          <w:iCs/>
          <w:sz w:val="18"/>
          <w:szCs w:val="18"/>
          <w:lang w:val="ru-RU"/>
        </w:rPr>
        <w:t>Приложение №</w:t>
      </w:r>
      <w:r>
        <w:rPr>
          <w:rFonts w:cs="Calibri"/>
          <w:bCs/>
          <w:i/>
          <w:iCs/>
          <w:sz w:val="18"/>
          <w:szCs w:val="18"/>
        </w:rPr>
        <w:t>5</w:t>
      </w:r>
      <w:r>
        <w:rPr>
          <w:rFonts w:cs="Calibri"/>
          <w:bCs/>
          <w:i/>
          <w:iCs/>
          <w:sz w:val="18"/>
          <w:szCs w:val="18"/>
          <w:lang w:val="ru-RU"/>
        </w:rPr>
        <w:t xml:space="preserve"> к Приложению №9 к </w:t>
      </w:r>
    </w:p>
    <w:p>
      <w:pPr>
        <w:pStyle w:val="Normal"/>
        <w:spacing w:lineRule="auto" w:line="256" w:before="0" w:after="0"/>
        <w:ind w:left="-284" w:hanging="0"/>
        <w:jc w:val="right"/>
        <w:rPr>
          <w:rFonts w:ascii="Calibri" w:hAnsi="Calibri" w:cs="Calibri"/>
          <w:bCs/>
          <w:i/>
          <w:i/>
          <w:iCs/>
          <w:sz w:val="22"/>
          <w:lang w:val="ru-RU"/>
        </w:rPr>
      </w:pPr>
      <w:r>
        <w:rPr>
          <w:rFonts w:cs="Calibri"/>
          <w:bCs/>
          <w:i/>
          <w:iCs/>
          <w:sz w:val="18"/>
          <w:szCs w:val="18"/>
          <w:lang w:val="ru-RU"/>
        </w:rPr>
        <w:t>Правилам комплексного обслуживания физических лиц в АО «ВЛАДБИЗНЕСБАНК»</w:t>
      </w:r>
      <w:r>
        <w:rPr>
          <w:rFonts w:cs="Calibri" w:ascii="Calibri" w:hAnsi="Calibri"/>
          <w:bCs/>
          <w:i/>
          <w:iCs/>
          <w:sz w:val="22"/>
          <w:lang w:val="ru-RU"/>
        </w:rPr>
        <w:t xml:space="preserve"> </w:t>
      </w:r>
    </w:p>
    <w:p>
      <w:pPr>
        <w:pStyle w:val="Normal"/>
        <w:spacing w:lineRule="auto" w:line="256" w:before="0" w:after="0"/>
        <w:ind w:left="0" w:hanging="0"/>
        <w:jc w:val="center"/>
        <w:rPr>
          <w:rFonts w:ascii="Calibri" w:hAnsi="Calibri" w:cs="Calibri"/>
          <w:bCs/>
          <w:i/>
          <w:i/>
          <w:iCs/>
          <w:sz w:val="22"/>
          <w:lang w:val="ru-RU"/>
        </w:rPr>
      </w:pPr>
      <w:r>
        <w:rPr>
          <w:rFonts w:cs="Calibri" w:ascii="Calibri" w:hAnsi="Calibri"/>
          <w:bCs/>
          <w:i/>
          <w:iCs/>
          <w:sz w:val="22"/>
          <w:lang w:val="ru-RU"/>
        </w:rPr>
      </w:r>
    </w:p>
    <w:p>
      <w:pPr>
        <w:pStyle w:val="Normal"/>
        <w:spacing w:lineRule="auto" w:line="256" w:before="0" w:after="0"/>
        <w:ind w:left="0" w:hanging="0"/>
        <w:jc w:val="center"/>
        <w:rPr>
          <w:rFonts w:ascii="Calibri" w:hAnsi="Calibri" w:cs="Calibri"/>
          <w:b/>
          <w:b/>
          <w:bCs/>
          <w:sz w:val="22"/>
          <w:lang w:val="ru-RU"/>
        </w:rPr>
      </w:pPr>
      <w:r>
        <w:rPr>
          <w:rFonts w:cs="Calibri" w:ascii="Calibri" w:hAnsi="Calibri"/>
          <w:b/>
          <w:bCs/>
          <w:sz w:val="22"/>
          <w:lang w:val="ru-RU"/>
        </w:rPr>
        <w:t xml:space="preserve">УСЛОВИЯ </w:t>
      </w:r>
    </w:p>
    <w:p>
      <w:pPr>
        <w:pStyle w:val="Normal"/>
        <w:spacing w:lineRule="auto" w:line="256" w:before="0" w:after="0"/>
        <w:ind w:left="0" w:hanging="0"/>
        <w:jc w:val="center"/>
        <w:rPr>
          <w:rFonts w:ascii="Calibri" w:hAnsi="Calibri" w:cs="Calibri"/>
          <w:b/>
          <w:b/>
          <w:bCs/>
          <w:sz w:val="22"/>
          <w:lang w:val="ru-RU"/>
        </w:rPr>
      </w:pPr>
      <w:r>
        <w:rPr>
          <w:rFonts w:cs="Calibri" w:ascii="Calibri" w:hAnsi="Calibri"/>
          <w:b/>
          <w:bCs/>
          <w:sz w:val="22"/>
          <w:lang w:val="ru-RU"/>
        </w:rPr>
        <w:t xml:space="preserve">использования Счета Клиента в сервисе бесконтактной оплаты (SBPay) </w:t>
      </w:r>
    </w:p>
    <w:p>
      <w:pPr>
        <w:pStyle w:val="Normal"/>
        <w:spacing w:lineRule="auto" w:line="256" w:before="0" w:after="0"/>
        <w:ind w:left="0" w:hanging="0"/>
        <w:jc w:val="center"/>
        <w:rPr>
          <w:rFonts w:ascii="Calibri" w:hAnsi="Calibri" w:cs="Calibri"/>
          <w:b/>
          <w:b/>
          <w:bCs/>
          <w:sz w:val="22"/>
          <w:lang w:val="ru-RU"/>
        </w:rPr>
      </w:pPr>
      <w:r>
        <w:rPr>
          <w:rFonts w:cs="Calibri" w:ascii="Calibri" w:hAnsi="Calibri"/>
          <w:b/>
          <w:bCs/>
          <w:sz w:val="22"/>
          <w:lang w:val="ru-RU"/>
        </w:rPr>
        <w:t>через систему быстрых платежей (СБП) для физических лиц в АО «ВЛАДБИЗНЕСБАНК»</w:t>
      </w:r>
    </w:p>
    <w:p>
      <w:pPr>
        <w:pStyle w:val="Normal"/>
        <w:spacing w:lineRule="auto" w:line="256" w:before="0" w:after="0"/>
        <w:ind w:left="0" w:hanging="0"/>
        <w:jc w:val="center"/>
        <w:rPr>
          <w:rFonts w:ascii="Calibri" w:hAnsi="Calibri" w:cs="Calibri"/>
          <w:b/>
          <w:b/>
          <w:bCs/>
          <w:sz w:val="22"/>
          <w:lang w:val="ru-RU"/>
        </w:rPr>
      </w:pPr>
      <w:r>
        <w:rPr>
          <w:rFonts w:cs="Calibri" w:ascii="Calibri" w:hAnsi="Calibri"/>
          <w:b/>
          <w:bCs/>
          <w:sz w:val="22"/>
          <w:lang w:val="ru-RU"/>
        </w:rPr>
        <w:t>(публичная оферта)</w:t>
      </w:r>
    </w:p>
    <w:p>
      <w:pPr>
        <w:pStyle w:val="Normal"/>
        <w:spacing w:lineRule="auto" w:line="256" w:before="0" w:after="0"/>
        <w:ind w:left="360" w:hanging="0"/>
        <w:jc w:val="left"/>
        <w:rPr>
          <w:rFonts w:ascii="Calibri" w:hAnsi="Calibri" w:cs="Calibri"/>
          <w:sz w:val="22"/>
          <w:lang w:val="ru-RU"/>
        </w:rPr>
      </w:pPr>
      <w:r>
        <w:rPr>
          <w:rFonts w:eastAsia="Calibri" w:cs="Calibri" w:ascii="Calibri" w:hAnsi="Calibri"/>
          <w:b/>
          <w:sz w:val="22"/>
          <w:lang w:val="ru-RU"/>
        </w:rPr>
        <w:t xml:space="preserve"> </w:t>
      </w:r>
    </w:p>
    <w:p>
      <w:pPr>
        <w:pStyle w:val="Heading1"/>
        <w:numPr>
          <w:ilvl w:val="0"/>
          <w:numId w:val="3"/>
        </w:numPr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 xml:space="preserve">ОБЩИЕ УСЛОВИЯ </w:t>
      </w:r>
    </w:p>
    <w:p>
      <w:pPr>
        <w:pStyle w:val="Normal"/>
        <w:numPr>
          <w:ilvl w:val="1"/>
          <w:numId w:val="3"/>
        </w:numPr>
        <w:tabs>
          <w:tab w:val="left" w:pos="567" w:leader="none"/>
        </w:tabs>
        <w:ind w:left="567" w:hanging="633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>Настоящие Условия использования Счета Клиента в сервисе бесконтактной оплаты SBPay через систему быстрых платежей для физических лиц в АО «ВЛАДБИЗНЕСБАНК» (далее по тексту – Условия) устанавливают порядок использования Токена Клиентом, и являются типовыми для всех Клиентов.</w:t>
      </w:r>
      <w:r>
        <w:rPr>
          <w:rFonts w:cs="Calibri" w:ascii="Calibri" w:hAnsi="Calibri"/>
          <w:b/>
          <w:sz w:val="22"/>
          <w:lang w:val="ru-RU"/>
        </w:rPr>
        <w:t xml:space="preserve"> </w:t>
      </w:r>
    </w:p>
    <w:p>
      <w:pPr>
        <w:pStyle w:val="Normal"/>
        <w:numPr>
          <w:ilvl w:val="1"/>
          <w:numId w:val="3"/>
        </w:numPr>
        <w:tabs>
          <w:tab w:val="left" w:pos="567" w:leader="none"/>
        </w:tabs>
        <w:ind w:left="567" w:hanging="633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 xml:space="preserve">Акцепт настоящих Условий осуществляется путем формирования записи Токена в память SBPay. После совершения акцепта, Банк и Клиент считаются заключившими Соглашение на действовавших в день заключения Условиях. </w:t>
      </w:r>
    </w:p>
    <w:p>
      <w:pPr>
        <w:pStyle w:val="Normal"/>
        <w:numPr>
          <w:ilvl w:val="1"/>
          <w:numId w:val="3"/>
        </w:numPr>
        <w:tabs>
          <w:tab w:val="left" w:pos="567" w:leader="none"/>
        </w:tabs>
        <w:ind w:left="567" w:hanging="633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>Настоящие Условия размещены в общедоступных источниках информации: в сети Интернет на официальном Сайте Банка и действительны до момента их отмены Банком.</w:t>
      </w:r>
    </w:p>
    <w:p>
      <w:pPr>
        <w:pStyle w:val="Normal"/>
        <w:numPr>
          <w:ilvl w:val="1"/>
          <w:numId w:val="3"/>
        </w:numPr>
        <w:tabs>
          <w:tab w:val="left" w:pos="567" w:leader="none"/>
        </w:tabs>
        <w:ind w:left="567" w:hanging="633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 xml:space="preserve">Все термины и определения используются в значении, указанном в Правилах, Соглашении с учетом следующих: </w:t>
      </w:r>
    </w:p>
    <w:p>
      <w:pPr>
        <w:pStyle w:val="Normal"/>
        <w:spacing w:lineRule="auto" w:line="256" w:before="0" w:after="15"/>
        <w:ind w:left="0" w:hanging="0"/>
        <w:jc w:val="left"/>
        <w:rPr>
          <w:rFonts w:ascii="Calibri" w:hAnsi="Calibri" w:cs="Calibri"/>
          <w:sz w:val="22"/>
          <w:lang w:val="ru-RU"/>
        </w:rPr>
      </w:pPr>
      <w:r>
        <w:rPr>
          <w:rFonts w:eastAsia="Calibri" w:cs="Calibri" w:ascii="Calibri" w:hAnsi="Calibri"/>
          <w:b/>
          <w:sz w:val="22"/>
          <w:lang w:val="ru-RU"/>
        </w:rPr>
        <w:t xml:space="preserve"> </w:t>
      </w:r>
    </w:p>
    <w:p>
      <w:pPr>
        <w:pStyle w:val="Heading1"/>
        <w:numPr>
          <w:ilvl w:val="0"/>
          <w:numId w:val="3"/>
        </w:numPr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 xml:space="preserve">ТЕРМИНЫ И ОПРЕДЕЛЕНИЯ </w:t>
      </w:r>
    </w:p>
    <w:p>
      <w:pPr>
        <w:pStyle w:val="Normal"/>
        <w:ind w:left="-5" w:hanging="10"/>
        <w:rPr>
          <w:rFonts w:ascii="Calibri" w:hAnsi="Calibri" w:cs="Calibri"/>
          <w:b/>
          <w:b/>
          <w:sz w:val="22"/>
          <w:lang w:val="ru-RU"/>
        </w:rPr>
      </w:pPr>
      <w:r>
        <w:rPr>
          <w:rFonts w:cs="Calibri" w:ascii="Calibri" w:hAnsi="Calibri"/>
          <w:b/>
          <w:sz w:val="22"/>
          <w:lang w:val="ru-RU"/>
        </w:rPr>
      </w:r>
    </w:p>
    <w:p>
      <w:pPr>
        <w:pStyle w:val="Normal"/>
        <w:ind w:left="-5" w:hanging="10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b/>
          <w:sz w:val="22"/>
          <w:lang w:val="ru-RU"/>
        </w:rPr>
        <w:t xml:space="preserve">Провайдер - </w:t>
      </w:r>
      <w:r>
        <w:rPr>
          <w:rFonts w:cs="Calibri" w:ascii="Calibri" w:hAnsi="Calibri"/>
          <w:sz w:val="22"/>
          <w:lang w:val="ru-RU"/>
        </w:rPr>
        <w:t xml:space="preserve">юридическое лицо, обеспечивающее на основании правил Платежной системы и/или на основании отдельного соглашения с платежной системой информационное и технологическое взаимодействие при формировании, обслуживании и использовании Токена в целях проведения Операций. Провайдером SBPay является АО "НСПК". </w:t>
      </w:r>
    </w:p>
    <w:p>
      <w:pPr>
        <w:pStyle w:val="Normal"/>
        <w:spacing w:lineRule="auto" w:line="256" w:before="0" w:after="15"/>
        <w:ind w:left="0" w:hanging="0"/>
        <w:jc w:val="left"/>
        <w:rPr>
          <w:rFonts w:ascii="Calibri" w:hAnsi="Calibri" w:cs="Calibri"/>
          <w:sz w:val="22"/>
          <w:lang w:val="ru-RU"/>
        </w:rPr>
      </w:pPr>
      <w:r>
        <w:rPr>
          <w:rFonts w:eastAsia="Calibri" w:cs="Calibri" w:ascii="Calibri" w:hAnsi="Calibri"/>
          <w:sz w:val="22"/>
          <w:lang w:val="ru-RU"/>
        </w:rPr>
        <w:t xml:space="preserve"> </w:t>
      </w:r>
    </w:p>
    <w:p>
      <w:pPr>
        <w:pStyle w:val="Normal"/>
        <w:ind w:left="-5" w:hanging="10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b/>
          <w:sz w:val="22"/>
          <w:lang w:val="ru-RU"/>
        </w:rPr>
        <w:t xml:space="preserve">Соглашение – </w:t>
      </w:r>
      <w:r>
        <w:rPr>
          <w:rFonts w:cs="Calibri" w:ascii="Calibri" w:hAnsi="Calibri"/>
          <w:sz w:val="22"/>
          <w:lang w:val="ru-RU"/>
        </w:rPr>
        <w:t>соглашение об использовании Токена к Счету, заключаемое между Клиентом и Банком путем присоединения Клиента к настоящим Условиям в целом.</w:t>
      </w:r>
      <w:r>
        <w:rPr>
          <w:rFonts w:cs="Calibri" w:ascii="Calibri" w:hAnsi="Calibri"/>
          <w:b/>
          <w:sz w:val="22"/>
          <w:lang w:val="ru-RU"/>
        </w:rPr>
        <w:t xml:space="preserve"> </w:t>
      </w:r>
    </w:p>
    <w:p>
      <w:pPr>
        <w:pStyle w:val="Normal"/>
        <w:spacing w:lineRule="auto" w:line="256" w:before="0" w:after="15"/>
        <w:ind w:left="0" w:hanging="0"/>
        <w:jc w:val="left"/>
        <w:rPr>
          <w:rFonts w:ascii="Calibri" w:hAnsi="Calibri" w:cs="Calibri"/>
          <w:sz w:val="22"/>
          <w:lang w:val="ru-RU"/>
        </w:rPr>
      </w:pPr>
      <w:r>
        <w:rPr>
          <w:rFonts w:eastAsia="Calibri" w:cs="Calibri" w:ascii="Calibri" w:hAnsi="Calibri"/>
          <w:b/>
          <w:sz w:val="22"/>
          <w:lang w:val="ru-RU"/>
        </w:rPr>
        <w:t xml:space="preserve"> </w:t>
      </w:r>
    </w:p>
    <w:p>
      <w:pPr>
        <w:pStyle w:val="Normal"/>
        <w:ind w:left="-5" w:hanging="10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b/>
          <w:sz w:val="22"/>
          <w:lang w:val="ru-RU"/>
        </w:rPr>
        <w:t>Сервис бесконтактной оплаты (SBPay</w:t>
      </w:r>
      <w:r>
        <w:rPr>
          <w:rFonts w:cs="Calibri" w:ascii="Calibri" w:hAnsi="Calibri"/>
          <w:sz w:val="22"/>
          <w:lang w:val="ru-RU"/>
        </w:rPr>
        <w:t xml:space="preserve">) - электронное средство платежа, позволяющее производить (совершать) оплату товаров и услуг бесконтактным способом с помощью мобильного устройства. </w:t>
      </w:r>
    </w:p>
    <w:p>
      <w:pPr>
        <w:pStyle w:val="Normal"/>
        <w:spacing w:lineRule="auto" w:line="256" w:before="0" w:after="15"/>
        <w:ind w:left="0" w:hanging="0"/>
        <w:jc w:val="left"/>
        <w:rPr>
          <w:rFonts w:ascii="Calibri" w:hAnsi="Calibri" w:cs="Calibri"/>
          <w:sz w:val="22"/>
          <w:lang w:val="ru-RU"/>
        </w:rPr>
      </w:pPr>
      <w:r>
        <w:rPr>
          <w:rFonts w:eastAsia="Calibri" w:cs="Calibri" w:ascii="Calibri" w:hAnsi="Calibri"/>
          <w:sz w:val="22"/>
          <w:lang w:val="ru-RU"/>
        </w:rPr>
        <w:t xml:space="preserve"> </w:t>
      </w:r>
    </w:p>
    <w:p>
      <w:pPr>
        <w:pStyle w:val="Normal"/>
        <w:ind w:left="-5" w:hanging="10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b/>
          <w:sz w:val="22"/>
          <w:lang w:val="ru-RU"/>
        </w:rPr>
        <w:t>Электронное средство платежа</w:t>
      </w:r>
      <w:r>
        <w:rPr>
          <w:rFonts w:cs="Calibri" w:ascii="Calibri" w:hAnsi="Calibri"/>
          <w:sz w:val="22"/>
          <w:lang w:val="ru-RU"/>
        </w:rPr>
        <w:t xml:space="preserve"> – это средство и (или) способ, позволяющие клиенту оператора по переводу денежных средств составлять, удостоверять и передавать распоряжения в целях осуществления перевода денежных средств с использованием специальных технологий и носителей информации. </w:t>
      </w:r>
    </w:p>
    <w:p>
      <w:pPr>
        <w:pStyle w:val="Normal"/>
        <w:spacing w:lineRule="auto" w:line="256" w:before="0" w:after="18"/>
        <w:ind w:left="0" w:hanging="0"/>
        <w:jc w:val="left"/>
        <w:rPr>
          <w:rFonts w:ascii="Calibri" w:hAnsi="Calibri" w:cs="Calibri"/>
          <w:sz w:val="22"/>
          <w:lang w:val="ru-RU"/>
        </w:rPr>
      </w:pPr>
      <w:r>
        <w:rPr>
          <w:rFonts w:eastAsia="Calibri" w:cs="Calibri" w:ascii="Calibri" w:hAnsi="Calibri"/>
          <w:b/>
          <w:sz w:val="22"/>
          <w:lang w:val="ru-RU"/>
        </w:rPr>
        <w:t xml:space="preserve"> </w:t>
      </w:r>
    </w:p>
    <w:p>
      <w:pPr>
        <w:pStyle w:val="Normal"/>
        <w:ind w:left="-5" w:hanging="10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b/>
          <w:sz w:val="22"/>
          <w:lang w:val="ru-RU"/>
        </w:rPr>
        <w:t xml:space="preserve">Токен </w:t>
      </w:r>
      <w:r>
        <w:rPr>
          <w:rFonts w:cs="Calibri" w:ascii="Calibri" w:hAnsi="Calibri"/>
          <w:sz w:val="22"/>
          <w:lang w:val="ru-RU"/>
        </w:rPr>
        <w:t xml:space="preserve">- цифровое представление реквизитов Счета, которое формируется по факту выполнения Клиентом действий, указанных в инструкциях Провайдера, а также в SBPay и хранится в зашифрованном виде в специализированной защищенной области SBPay, установленного на Мобильное устройство Клиента. </w:t>
      </w:r>
    </w:p>
    <w:p>
      <w:pPr>
        <w:pStyle w:val="Normal"/>
        <w:spacing w:lineRule="auto" w:line="256" w:before="0" w:after="17"/>
        <w:ind w:left="0" w:hanging="0"/>
        <w:jc w:val="left"/>
        <w:rPr>
          <w:rFonts w:ascii="Calibri" w:hAnsi="Calibri" w:cs="Calibri"/>
          <w:sz w:val="22"/>
          <w:lang w:val="ru-RU"/>
        </w:rPr>
      </w:pPr>
      <w:r>
        <w:rPr>
          <w:rFonts w:eastAsia="Calibri" w:cs="Calibri" w:ascii="Calibri" w:hAnsi="Calibri"/>
          <w:b/>
          <w:sz w:val="22"/>
          <w:lang w:val="ru-RU"/>
        </w:rPr>
        <w:t xml:space="preserve"> </w:t>
      </w:r>
    </w:p>
    <w:p>
      <w:pPr>
        <w:pStyle w:val="Normal"/>
        <w:ind w:left="-5" w:hanging="10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b/>
          <w:sz w:val="22"/>
          <w:lang w:val="ru-RU"/>
        </w:rPr>
        <w:t xml:space="preserve">Торгово-сервисное предприятие (ТСП) - </w:t>
      </w:r>
      <w:r>
        <w:rPr>
          <w:rFonts w:cs="Calibri" w:ascii="Calibri" w:hAnsi="Calibri"/>
          <w:sz w:val="22"/>
          <w:lang w:val="ru-RU"/>
        </w:rPr>
        <w:t xml:space="preserve">юридическое лицо или индивидуальный предприниматель, реализующее (-ий) товары с возможностью их оплаты Клиентом через SBPay. </w:t>
      </w:r>
    </w:p>
    <w:p>
      <w:pPr>
        <w:pStyle w:val="Normal"/>
        <w:spacing w:lineRule="auto" w:line="256" w:before="0" w:after="15"/>
        <w:ind w:left="0" w:hanging="0"/>
        <w:jc w:val="left"/>
        <w:rPr>
          <w:rFonts w:ascii="Calibri" w:hAnsi="Calibri" w:cs="Calibri"/>
          <w:sz w:val="22"/>
          <w:lang w:val="ru-RU"/>
        </w:rPr>
      </w:pPr>
      <w:r>
        <w:rPr>
          <w:rFonts w:eastAsia="Calibri" w:cs="Calibri" w:ascii="Calibri" w:hAnsi="Calibri"/>
          <w:sz w:val="22"/>
          <w:lang w:val="ru-RU"/>
        </w:rPr>
        <w:t xml:space="preserve"> </w:t>
      </w:r>
    </w:p>
    <w:p>
      <w:pPr>
        <w:pStyle w:val="Normal"/>
        <w:ind w:left="-5" w:hanging="10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b/>
          <w:sz w:val="22"/>
          <w:lang w:val="ru-RU"/>
        </w:rPr>
        <w:t xml:space="preserve">Операция СБП – </w:t>
      </w:r>
      <w:r>
        <w:rPr>
          <w:rFonts w:cs="Calibri" w:ascii="Calibri" w:hAnsi="Calibri"/>
          <w:sz w:val="22"/>
          <w:lang w:val="ru-RU"/>
        </w:rPr>
        <w:t xml:space="preserve">это финансовая операция, с использованием Счета Клиента и Токена при помощи SBPay, на проведение которой Банком было предоставлено разрешение в результате Авторизации, а также совершаемая Клиентом путем перевода денежных средств через СБП в пользу ТСП, по средствам сканирования QR-кода, считывания данных из NFC-метки или перехода по ссылке, предоставленной ТСП. </w:t>
      </w:r>
    </w:p>
    <w:p>
      <w:pPr>
        <w:pStyle w:val="Normal"/>
        <w:spacing w:lineRule="auto" w:line="256" w:before="0" w:after="52"/>
        <w:ind w:left="0" w:hanging="0"/>
        <w:jc w:val="left"/>
        <w:rPr>
          <w:rFonts w:ascii="Calibri" w:hAnsi="Calibri" w:cs="Calibri"/>
          <w:sz w:val="22"/>
          <w:lang w:val="ru-RU"/>
        </w:rPr>
      </w:pPr>
      <w:r>
        <w:rPr>
          <w:rFonts w:eastAsia="Calibri" w:cs="Calibri" w:ascii="Calibri" w:hAnsi="Calibri"/>
          <w:sz w:val="22"/>
          <w:lang w:val="ru-RU"/>
        </w:rPr>
        <w:t xml:space="preserve"> </w:t>
      </w:r>
    </w:p>
    <w:p>
      <w:pPr>
        <w:pStyle w:val="Normal"/>
        <w:ind w:left="-5" w:hanging="10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b/>
          <w:sz w:val="22"/>
          <w:lang w:val="ru-RU"/>
        </w:rPr>
        <w:t xml:space="preserve">QR-код </w:t>
      </w:r>
      <w:r>
        <w:rPr>
          <w:rFonts w:cs="Calibri" w:ascii="Calibri" w:hAnsi="Calibri"/>
          <w:sz w:val="22"/>
          <w:lang w:val="ru-RU"/>
        </w:rPr>
        <w:t>– графическое представление Платежной ссылки, на котором с помощью технического устройства можно распознать текст.</w:t>
      </w:r>
      <w:r>
        <w:rPr>
          <w:rFonts w:cs="Calibri" w:ascii="Calibri" w:hAnsi="Calibri"/>
          <w:b/>
          <w:sz w:val="22"/>
          <w:lang w:val="ru-RU"/>
        </w:rPr>
        <w:t xml:space="preserve">  </w:t>
      </w:r>
    </w:p>
    <w:p>
      <w:pPr>
        <w:pStyle w:val="Normal"/>
        <w:spacing w:lineRule="auto" w:line="256" w:before="0" w:after="54"/>
        <w:ind w:left="0" w:hanging="0"/>
        <w:jc w:val="left"/>
        <w:rPr>
          <w:rFonts w:ascii="Calibri" w:hAnsi="Calibri" w:cs="Calibri"/>
          <w:sz w:val="22"/>
          <w:lang w:val="ru-RU"/>
        </w:rPr>
      </w:pPr>
      <w:r>
        <w:rPr>
          <w:rFonts w:eastAsia="Calibri" w:cs="Calibri" w:ascii="Calibri" w:hAnsi="Calibri"/>
          <w:b/>
          <w:sz w:val="22"/>
          <w:lang w:val="ru-RU"/>
        </w:rPr>
        <w:t xml:space="preserve"> </w:t>
      </w:r>
    </w:p>
    <w:p>
      <w:pPr>
        <w:pStyle w:val="Normal"/>
        <w:ind w:left="-5" w:hanging="10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b/>
          <w:sz w:val="22"/>
          <w:lang w:val="ru-RU"/>
        </w:rPr>
        <w:t>NFC-метка</w:t>
      </w:r>
      <w:r>
        <w:rPr>
          <w:rFonts w:cs="Calibri" w:ascii="Calibri" w:hAnsi="Calibri"/>
          <w:sz w:val="22"/>
          <w:lang w:val="ru-RU"/>
        </w:rPr>
        <w:t xml:space="preserve"> - чип, который может хранить небольшой объем информации для передачи другому устройству, такому как мобильный телефон. В контексте настоящего Соглашения – чип, на который записана Платежная ссылка.  </w:t>
      </w:r>
    </w:p>
    <w:p>
      <w:pPr>
        <w:pStyle w:val="Normal"/>
        <w:spacing w:lineRule="auto" w:line="256" w:before="0" w:after="56"/>
        <w:ind w:left="0" w:hanging="0"/>
        <w:jc w:val="left"/>
        <w:rPr>
          <w:rFonts w:ascii="Calibri" w:hAnsi="Calibri" w:cs="Calibri"/>
          <w:sz w:val="22"/>
          <w:lang w:val="ru-RU"/>
        </w:rPr>
      </w:pPr>
      <w:r>
        <w:rPr>
          <w:rFonts w:eastAsia="Calibri" w:cs="Calibri" w:ascii="Calibri" w:hAnsi="Calibri"/>
          <w:sz w:val="22"/>
          <w:lang w:val="ru-RU"/>
        </w:rPr>
        <w:t xml:space="preserve"> </w:t>
      </w:r>
    </w:p>
    <w:p>
      <w:pPr>
        <w:pStyle w:val="Normal"/>
        <w:ind w:left="-5" w:hanging="10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b/>
          <w:sz w:val="22"/>
          <w:lang w:val="ru-RU"/>
        </w:rPr>
        <w:t>Платежная ссылка</w:t>
      </w:r>
      <w:r>
        <w:rPr>
          <w:rFonts w:cs="Calibri" w:ascii="Calibri" w:hAnsi="Calibri"/>
          <w:sz w:val="22"/>
          <w:lang w:val="ru-RU"/>
        </w:rPr>
        <w:t xml:space="preserve"> – ссылка, сгенерированная Сервисом СБП для возможности осуществления оплаты за товары и услуги ТСП.   </w:t>
      </w:r>
    </w:p>
    <w:p>
      <w:pPr>
        <w:pStyle w:val="Normal"/>
        <w:spacing w:lineRule="auto" w:line="256" w:before="0" w:after="0"/>
        <w:ind w:left="0" w:hanging="0"/>
        <w:jc w:val="left"/>
        <w:rPr>
          <w:rFonts w:ascii="Calibri" w:hAnsi="Calibri" w:cs="Calibri"/>
          <w:sz w:val="22"/>
          <w:lang w:val="ru-RU"/>
        </w:rPr>
      </w:pPr>
      <w:r>
        <w:rPr>
          <w:rFonts w:eastAsia="Calibri" w:cs="Calibri" w:ascii="Calibri" w:hAnsi="Calibri"/>
          <w:sz w:val="22"/>
          <w:lang w:val="ru-RU"/>
        </w:rPr>
        <w:t xml:space="preserve">  </w:t>
      </w:r>
    </w:p>
    <w:p>
      <w:pPr>
        <w:pStyle w:val="Heading1"/>
        <w:numPr>
          <w:ilvl w:val="0"/>
          <w:numId w:val="3"/>
        </w:numPr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 xml:space="preserve">ПОРЯДОК ФОРМИРОВАНИЯ И ИСПОЛЬЗОВАНИЯ ТОКЕНА </w:t>
      </w:r>
    </w:p>
    <w:p>
      <w:pPr>
        <w:pStyle w:val="Normal"/>
        <w:numPr>
          <w:ilvl w:val="1"/>
          <w:numId w:val="3"/>
        </w:numPr>
        <w:tabs>
          <w:tab w:val="left" w:pos="567" w:leader="none"/>
        </w:tabs>
        <w:ind w:left="567" w:hanging="633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 xml:space="preserve">Для добавления Счета в SBPay необходимо следовать инструкциям Провайдера. </w:t>
      </w:r>
    </w:p>
    <w:p>
      <w:pPr>
        <w:pStyle w:val="Normal"/>
        <w:numPr>
          <w:ilvl w:val="1"/>
          <w:numId w:val="3"/>
        </w:numPr>
        <w:tabs>
          <w:tab w:val="left" w:pos="567" w:leader="none"/>
        </w:tabs>
        <w:ind w:left="567" w:hanging="633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 xml:space="preserve">Счет не может быть добавлен и использован в SBPay в случаях ограничения его использования Банком. </w:t>
      </w:r>
    </w:p>
    <w:p>
      <w:pPr>
        <w:pStyle w:val="Normal"/>
        <w:numPr>
          <w:ilvl w:val="1"/>
          <w:numId w:val="3"/>
        </w:numPr>
        <w:tabs>
          <w:tab w:val="left" w:pos="567" w:leader="none"/>
        </w:tabs>
        <w:ind w:left="567" w:hanging="633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 xml:space="preserve">Токен не может быть создан без наличия в Банке актуальной информации о зарегистрированном номере Мобильного устройства Клиента, на который Банком направляется одноразовый пароль. </w:t>
      </w:r>
    </w:p>
    <w:p>
      <w:pPr>
        <w:pStyle w:val="Normal"/>
        <w:numPr>
          <w:ilvl w:val="1"/>
          <w:numId w:val="3"/>
        </w:numPr>
        <w:tabs>
          <w:tab w:val="left" w:pos="567" w:leader="none"/>
        </w:tabs>
        <w:ind w:left="567" w:hanging="633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 xml:space="preserve">Использование Токена осуществляется в соответствии с настоящими Условиями, законодательством Российской Федерации, правилами платежной системы и требованиями Провайдера. </w:t>
      </w:r>
    </w:p>
    <w:p>
      <w:pPr>
        <w:pStyle w:val="Normal"/>
        <w:numPr>
          <w:ilvl w:val="1"/>
          <w:numId w:val="3"/>
        </w:numPr>
        <w:tabs>
          <w:tab w:val="left" w:pos="567" w:leader="none"/>
        </w:tabs>
        <w:ind w:left="567" w:hanging="633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 xml:space="preserve">Токен используется Клиентом для совершения Операций в ТСП, поддерживающих технологию проведения бесконтактных платежей. </w:t>
      </w:r>
    </w:p>
    <w:p>
      <w:pPr>
        <w:pStyle w:val="Normal"/>
        <w:numPr>
          <w:ilvl w:val="1"/>
          <w:numId w:val="3"/>
        </w:numPr>
        <w:tabs>
          <w:tab w:val="left" w:pos="567" w:leader="none"/>
        </w:tabs>
        <w:ind w:left="567" w:hanging="633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 xml:space="preserve">Клиент уведомлен, понимает и соглашается с тем, что не все ТСП могут обеспечить возможность предоставления QR-кода или NFC-метки для оплаты через СБП, и что платежная система и/или кредитные организации могут вводить ограничения, в том числе по суммам Операций. </w:t>
      </w:r>
    </w:p>
    <w:p>
      <w:pPr>
        <w:pStyle w:val="Normal"/>
        <w:numPr>
          <w:ilvl w:val="1"/>
          <w:numId w:val="3"/>
        </w:numPr>
        <w:tabs>
          <w:tab w:val="left" w:pos="567" w:leader="none"/>
        </w:tabs>
        <w:ind w:left="567" w:hanging="633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 xml:space="preserve">При использовании Токена условия обслуживания Счета, к которому соответствующий Токен сформирован (Тарифы, установленные лимиты и ограничения, информирование по операциям, участие в акциях и иные условия) соответствуют действующей редакции. Операции, совершенные с использованием Токена, приравниваются к операциям, совершенным с использованием Счета, к которому сформирован такой Токен. На отношения между Клиентом и Банком, возникающие в результате использования Токена, распространяются условия Правил.  </w:t>
      </w:r>
    </w:p>
    <w:p>
      <w:pPr>
        <w:pStyle w:val="Normal"/>
        <w:numPr>
          <w:ilvl w:val="1"/>
          <w:numId w:val="3"/>
        </w:numPr>
        <w:tabs>
          <w:tab w:val="left" w:pos="567" w:leader="none"/>
        </w:tabs>
        <w:ind w:left="567" w:hanging="633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 xml:space="preserve">Блокирование Токена или его удаление из памяти Мобильного устройства не прекращает действие Счета, к которому соответствующий Токен сформирован, и не влечет технические ограничения на его использование (не блокирует счет). Если к Счету создано несколько Токенов, при блокировке одного из них, остальные Токены не блокируются. </w:t>
      </w:r>
    </w:p>
    <w:p>
      <w:pPr>
        <w:pStyle w:val="Normal"/>
        <w:spacing w:lineRule="auto" w:line="256" w:before="0" w:after="0"/>
        <w:ind w:left="360" w:hanging="0"/>
        <w:jc w:val="left"/>
        <w:rPr>
          <w:rFonts w:ascii="Calibri" w:hAnsi="Calibri" w:cs="Calibri"/>
          <w:sz w:val="22"/>
          <w:lang w:val="ru-RU"/>
        </w:rPr>
      </w:pPr>
      <w:r>
        <w:rPr>
          <w:rFonts w:eastAsia="Calibri" w:cs="Calibri" w:ascii="Calibri" w:hAnsi="Calibri"/>
          <w:sz w:val="22"/>
          <w:lang w:val="ru-RU"/>
        </w:rPr>
        <w:t xml:space="preserve"> </w:t>
      </w:r>
    </w:p>
    <w:p>
      <w:pPr>
        <w:pStyle w:val="Heading1"/>
        <w:numPr>
          <w:ilvl w:val="0"/>
          <w:numId w:val="3"/>
        </w:numPr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 xml:space="preserve">СРОК ДЕЙСТВИЯ СОГЛАШЕНИЯ. </w:t>
      </w:r>
    </w:p>
    <w:p>
      <w:pPr>
        <w:pStyle w:val="Normal"/>
        <w:numPr>
          <w:ilvl w:val="1"/>
          <w:numId w:val="3"/>
        </w:numPr>
        <w:tabs>
          <w:tab w:val="left" w:pos="567" w:leader="none"/>
        </w:tabs>
        <w:ind w:left="567" w:hanging="633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 xml:space="preserve">Соглашение заключается на неопределенный срок и прекращает свое действие с момента прекращения действия Токена, который был сформирован в соответствии с Соглашением или с момента расторжения Договора о предоставлении услуги, на основании которого Банком обслуживается Счет, к которому сформирован соответствующий Токен. </w:t>
      </w:r>
    </w:p>
    <w:p>
      <w:pPr>
        <w:pStyle w:val="Normal"/>
        <w:numPr>
          <w:ilvl w:val="1"/>
          <w:numId w:val="3"/>
        </w:numPr>
        <w:tabs>
          <w:tab w:val="left" w:pos="567" w:leader="none"/>
        </w:tabs>
        <w:ind w:left="567" w:hanging="633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 xml:space="preserve">Прекращение действия Соглашения не влияет на юридическую силу и действительность распоряжений о переводе денежных средств, направленных Клиентом в Банк до прекращения его действия. </w:t>
      </w:r>
    </w:p>
    <w:p>
      <w:pPr>
        <w:pStyle w:val="Normal"/>
        <w:spacing w:lineRule="auto" w:line="256" w:before="0" w:after="8"/>
        <w:ind w:left="0" w:hanging="0"/>
        <w:jc w:val="left"/>
        <w:rPr>
          <w:rFonts w:ascii="Calibri" w:hAnsi="Calibri" w:cs="Calibri"/>
          <w:sz w:val="22"/>
          <w:lang w:val="ru-RU"/>
        </w:rPr>
      </w:pPr>
      <w:r>
        <w:rPr>
          <w:rFonts w:eastAsia="Calibri" w:cs="Calibri" w:ascii="Calibri" w:hAnsi="Calibri"/>
          <w:sz w:val="22"/>
          <w:lang w:val="ru-RU"/>
        </w:rPr>
        <w:t xml:space="preserve"> </w:t>
      </w:r>
    </w:p>
    <w:p>
      <w:pPr>
        <w:pStyle w:val="Heading1"/>
        <w:numPr>
          <w:ilvl w:val="0"/>
          <w:numId w:val="3"/>
        </w:numPr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 xml:space="preserve">ПЛАТА ЗА ИСПОЛЬЗОВАНИЕ SBPay </w:t>
      </w:r>
    </w:p>
    <w:p>
      <w:pPr>
        <w:pStyle w:val="Normal"/>
        <w:numPr>
          <w:ilvl w:val="1"/>
          <w:numId w:val="3"/>
        </w:numPr>
        <w:tabs>
          <w:tab w:val="left" w:pos="567" w:leader="none"/>
        </w:tabs>
        <w:ind w:left="567" w:hanging="633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 xml:space="preserve">Банком не взимается плата за использование SBPay. Провайдер, а также иные сторонние организации, в том числе операторы беспроводной связи или поставщики услуг передачи данных, могут взимать плату за услуги в связи с использованием Мобильного устройства или SBPay. При этом все комиссии и другие платежи, применимые к Клиенту в соответствии с условиями заключенного Договора, также применяются ко всем операциям, совершенным с использованием SBPay. </w:t>
      </w:r>
    </w:p>
    <w:p>
      <w:pPr>
        <w:pStyle w:val="Normal"/>
        <w:numPr>
          <w:ilvl w:val="1"/>
          <w:numId w:val="3"/>
        </w:numPr>
        <w:tabs>
          <w:tab w:val="left" w:pos="567" w:leader="none"/>
        </w:tabs>
        <w:ind w:left="567" w:hanging="633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 xml:space="preserve">Банк, а также SBPay или ТСП по своему усмотрению могут устанавливать лимиты на совершение операций. </w:t>
      </w:r>
    </w:p>
    <w:p>
      <w:pPr>
        <w:pStyle w:val="Normal"/>
        <w:numPr>
          <w:ilvl w:val="1"/>
          <w:numId w:val="3"/>
        </w:numPr>
        <w:tabs>
          <w:tab w:val="left" w:pos="567" w:leader="none"/>
        </w:tabs>
        <w:ind w:left="567" w:hanging="633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 xml:space="preserve">До заключения Соглашения Клиент обязан ознакомиться с условиями оказания услуг, установленными SBPay, а также иными сторонними организациями. </w:t>
      </w:r>
    </w:p>
    <w:p>
      <w:pPr>
        <w:pStyle w:val="Normal"/>
        <w:spacing w:lineRule="auto" w:line="256" w:before="0" w:after="15"/>
        <w:ind w:left="0" w:hanging="0"/>
        <w:jc w:val="left"/>
        <w:rPr>
          <w:rFonts w:ascii="Calibri" w:hAnsi="Calibri" w:cs="Calibri"/>
          <w:sz w:val="22"/>
          <w:lang w:val="ru-RU"/>
        </w:rPr>
      </w:pPr>
      <w:r>
        <w:rPr>
          <w:rFonts w:eastAsia="Calibri" w:cs="Calibri" w:ascii="Calibri" w:hAnsi="Calibri"/>
          <w:sz w:val="22"/>
          <w:lang w:val="ru-RU"/>
        </w:rPr>
        <w:t xml:space="preserve"> </w:t>
      </w:r>
    </w:p>
    <w:p>
      <w:pPr>
        <w:pStyle w:val="Heading1"/>
        <w:numPr>
          <w:ilvl w:val="0"/>
          <w:numId w:val="3"/>
        </w:numPr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 xml:space="preserve">ТРЕБОВАНИЯ К БЕЗОПАСНОСТИ ИСПОЛЬЗОВАНИЯ МОБИЛЬНОГО УСТРОЙСТВА, НА КОТОРОМ ХРАНИТСЯ ТОКЕН </w:t>
      </w:r>
    </w:p>
    <w:p>
      <w:pPr>
        <w:pStyle w:val="Normal"/>
        <w:numPr>
          <w:ilvl w:val="1"/>
          <w:numId w:val="3"/>
        </w:numPr>
        <w:tabs>
          <w:tab w:val="left" w:pos="567" w:leader="none"/>
        </w:tabs>
        <w:ind w:left="567" w:hanging="633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 xml:space="preserve">Клиент обязан соблюдать следующие меры для защиты Токена: </w:t>
      </w:r>
    </w:p>
    <w:p>
      <w:pPr>
        <w:pStyle w:val="Normal"/>
        <w:numPr>
          <w:ilvl w:val="0"/>
          <w:numId w:val="2"/>
        </w:numPr>
        <w:ind w:left="1134" w:hanging="425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 xml:space="preserve">не оставлять Мобильное устройство без присмотра; </w:t>
      </w:r>
    </w:p>
    <w:p>
      <w:pPr>
        <w:pStyle w:val="Normal"/>
        <w:numPr>
          <w:ilvl w:val="0"/>
          <w:numId w:val="2"/>
        </w:numPr>
        <w:ind w:left="1134" w:hanging="425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 xml:space="preserve">не передавать Мобильное устройство третьим лицам; </w:t>
      </w:r>
    </w:p>
    <w:p>
      <w:pPr>
        <w:pStyle w:val="Normal"/>
        <w:numPr>
          <w:ilvl w:val="0"/>
          <w:numId w:val="2"/>
        </w:numPr>
        <w:ind w:left="1134" w:hanging="425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 xml:space="preserve">обеспечить соответствующий уровень безопасности на Мобильном устройстве, используя антивирусное программное обеспечение (при наличии для данного типа Мобильного устройства), средства Аутентификации, встроенные в Мобильное устройство и предлагаемые Провайдером; </w:t>
      </w:r>
    </w:p>
    <w:p>
      <w:pPr>
        <w:pStyle w:val="Normal"/>
        <w:numPr>
          <w:ilvl w:val="0"/>
          <w:numId w:val="2"/>
        </w:numPr>
        <w:ind w:left="1134" w:hanging="425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 xml:space="preserve">убедиться, что на Мобильном устройстве не зарегистрированы средства Аутентификации третьего лица; </w:t>
      </w:r>
    </w:p>
    <w:p>
      <w:pPr>
        <w:pStyle w:val="Normal"/>
        <w:numPr>
          <w:ilvl w:val="0"/>
          <w:numId w:val="2"/>
        </w:numPr>
        <w:ind w:left="1134" w:hanging="425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 xml:space="preserve">не разглашать третьим лицам собственные средства Аутентификации на Мобильном устройстве, являющиеся конфиденциальной информацией; </w:t>
      </w:r>
    </w:p>
    <w:p>
      <w:pPr>
        <w:pStyle w:val="Normal"/>
        <w:numPr>
          <w:ilvl w:val="0"/>
          <w:numId w:val="2"/>
        </w:numPr>
        <w:ind w:left="1134" w:hanging="425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 xml:space="preserve">удалить все личные данные, финансовую информацию и Токены с Мобильного устройства, использование которого прекращено, или при необходимости передачи устройства в организацию, осуществляющую ремонт; </w:t>
      </w:r>
    </w:p>
    <w:p>
      <w:pPr>
        <w:pStyle w:val="Normal"/>
        <w:numPr>
          <w:ilvl w:val="0"/>
          <w:numId w:val="2"/>
        </w:numPr>
        <w:ind w:left="1134" w:hanging="425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 xml:space="preserve">обратиться в Банк незамедлительно, в случае подозрений на любое несанкционированное использование Мобильного устройства или размещенного в SBPay  Токена, а также в случае утраты Мобильного устройства; </w:t>
      </w:r>
    </w:p>
    <w:p>
      <w:pPr>
        <w:pStyle w:val="Normal"/>
        <w:numPr>
          <w:ilvl w:val="0"/>
          <w:numId w:val="2"/>
        </w:numPr>
        <w:ind w:left="1134" w:hanging="425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 xml:space="preserve">не блокировать любые функции безопасности, предусмотренные на Мобильном устройстве в целях защиты Токена; </w:t>
      </w:r>
    </w:p>
    <w:p>
      <w:pPr>
        <w:pStyle w:val="Normal"/>
        <w:numPr>
          <w:ilvl w:val="0"/>
          <w:numId w:val="2"/>
        </w:numPr>
        <w:ind w:left="1134" w:hanging="425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 xml:space="preserve">не подвергать Мобильное устройство взлому операционной системы; </w:t>
      </w:r>
    </w:p>
    <w:p>
      <w:pPr>
        <w:pStyle w:val="Normal"/>
        <w:numPr>
          <w:ilvl w:val="0"/>
          <w:numId w:val="2"/>
        </w:numPr>
        <w:ind w:left="1134" w:hanging="425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 xml:space="preserve">не использовать SBPay при подключении к беспроводным сетям общего доступа. </w:t>
      </w:r>
    </w:p>
    <w:p>
      <w:pPr>
        <w:pStyle w:val="Normal"/>
        <w:numPr>
          <w:ilvl w:val="1"/>
          <w:numId w:val="3"/>
        </w:numPr>
        <w:tabs>
          <w:tab w:val="left" w:pos="567" w:leader="none"/>
        </w:tabs>
        <w:ind w:left="567" w:hanging="633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 xml:space="preserve">С целью получения информации о совершенных операциях Клиент обязан предоставлять достоверные сведения, в том числе сведения о номере телефона и адресе электронной почты, для получения SMS – уведомлений Банка, а в случае изменения информации для связи с Клиентом, своевременно предоставлять актуальную информацию, согласно условиям Договора. </w:t>
      </w:r>
    </w:p>
    <w:p>
      <w:pPr>
        <w:pStyle w:val="Normal"/>
        <w:numPr>
          <w:ilvl w:val="1"/>
          <w:numId w:val="3"/>
        </w:numPr>
        <w:tabs>
          <w:tab w:val="left" w:pos="567" w:leader="none"/>
        </w:tabs>
        <w:ind w:left="567" w:hanging="633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 xml:space="preserve">Клиент гарантирует, что номер мобильного телефона принадлежит лично ему и третьими лицами не используется. </w:t>
      </w:r>
    </w:p>
    <w:p>
      <w:pPr>
        <w:pStyle w:val="Normal"/>
        <w:numPr>
          <w:ilvl w:val="1"/>
          <w:numId w:val="3"/>
        </w:numPr>
        <w:tabs>
          <w:tab w:val="left" w:pos="567" w:leader="none"/>
        </w:tabs>
        <w:ind w:left="567" w:hanging="633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 xml:space="preserve">Клиент проинформирован, что номер мобильного телефона будет использоваться  в качестве его уникального идентификатора, в том числе при обращении в Банк, и для отправки ему  SMS-сообщений с информацией об операциях СБП с использованием Счета, о логине, пароле, для входа в Системы ДБО Банка, о кодах подтверждения, кодовых словах, а также для получения в электронном виде его голосовых распоряжений и заявлений о предоставлении информации или о совершении операций по Счету. Несообщение Банку об изменении (утере) указанного номера является основанием для отказа в совершении операций по Счету, нарушением порядка использования электронного средства платежа и основанием для приостановления использования всех предоставленных Клиенту электронных средств платежа для совершения операций по Счету.  </w:t>
      </w:r>
    </w:p>
    <w:p>
      <w:pPr>
        <w:pStyle w:val="Normal"/>
        <w:spacing w:lineRule="auto" w:line="256" w:before="0" w:after="12"/>
        <w:ind w:left="0" w:hanging="0"/>
        <w:jc w:val="left"/>
        <w:rPr>
          <w:rFonts w:ascii="Calibri" w:hAnsi="Calibri" w:cs="Calibri"/>
          <w:sz w:val="22"/>
          <w:lang w:val="ru-RU"/>
        </w:rPr>
      </w:pPr>
      <w:r>
        <w:rPr>
          <w:rFonts w:eastAsia="Calibri" w:cs="Calibri" w:ascii="Calibri" w:hAnsi="Calibri"/>
          <w:sz w:val="22"/>
          <w:lang w:val="ru-RU"/>
        </w:rPr>
        <w:t xml:space="preserve"> </w:t>
      </w:r>
    </w:p>
    <w:p>
      <w:pPr>
        <w:pStyle w:val="Heading1"/>
        <w:numPr>
          <w:ilvl w:val="0"/>
          <w:numId w:val="3"/>
        </w:numPr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 xml:space="preserve">ОТВЕТСТВЕННОСТЬ </w:t>
      </w:r>
    </w:p>
    <w:p>
      <w:pPr>
        <w:pStyle w:val="Normal"/>
        <w:numPr>
          <w:ilvl w:val="1"/>
          <w:numId w:val="3"/>
        </w:numPr>
        <w:tabs>
          <w:tab w:val="left" w:pos="567" w:leader="none"/>
        </w:tabs>
        <w:ind w:left="567" w:hanging="633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 xml:space="preserve">Ответственность за функционирование SBPay несет предоставляющий его Провайдер. </w:t>
      </w:r>
    </w:p>
    <w:p>
      <w:pPr>
        <w:pStyle w:val="Normal"/>
        <w:numPr>
          <w:ilvl w:val="1"/>
          <w:numId w:val="3"/>
        </w:numPr>
        <w:tabs>
          <w:tab w:val="left" w:pos="567" w:leader="none"/>
        </w:tabs>
        <w:ind w:left="567" w:hanging="633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 xml:space="preserve">Банк не несет ответственности за возможные проблемы в использовании SBPay или отсутствие возможности для Клиента использовать SBPay для совершения тех или иных операций СБП. </w:t>
      </w:r>
    </w:p>
    <w:p>
      <w:pPr>
        <w:pStyle w:val="Normal"/>
        <w:numPr>
          <w:ilvl w:val="1"/>
          <w:numId w:val="3"/>
        </w:numPr>
        <w:tabs>
          <w:tab w:val="left" w:pos="567" w:leader="none"/>
        </w:tabs>
        <w:ind w:left="567" w:hanging="633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 xml:space="preserve">Банк не несет ответственности за убытки, которые может понести Клиент в результате отказа ТСП в возможности совершения операций СБП с использованием SBPay. Банк не несет ответственности за работу Мобильного устройства Клиента. </w:t>
      </w:r>
    </w:p>
    <w:p>
      <w:pPr>
        <w:pStyle w:val="Normal"/>
        <w:numPr>
          <w:ilvl w:val="1"/>
          <w:numId w:val="3"/>
        </w:numPr>
        <w:tabs>
          <w:tab w:val="left" w:pos="567" w:leader="none"/>
        </w:tabs>
        <w:ind w:left="567" w:hanging="633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 xml:space="preserve">Банк не несет ответственности за безопасность информации, предоставленной или хранимой Провайдером или другими третьими лицам в связи с использованием SBPay. Банк не несет ответственности при нарушении Провайдером правил безопасности, влияющих на любую собранную, сохраненную или отправленную информацию. </w:t>
      </w:r>
    </w:p>
    <w:p>
      <w:pPr>
        <w:pStyle w:val="Normal"/>
        <w:numPr>
          <w:ilvl w:val="1"/>
          <w:numId w:val="3"/>
        </w:numPr>
        <w:tabs>
          <w:tab w:val="left" w:pos="567" w:leader="none"/>
        </w:tabs>
        <w:ind w:left="567" w:hanging="633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 xml:space="preserve">Клиент несет ответственность за все операции, совершенные с помощью SBPay, вне зависимости от того, свое или третьих лиц использовано при этом Мобильное устройство.  </w:t>
      </w:r>
    </w:p>
    <w:p>
      <w:pPr>
        <w:pStyle w:val="Normal"/>
        <w:numPr>
          <w:ilvl w:val="1"/>
          <w:numId w:val="3"/>
        </w:numPr>
        <w:tabs>
          <w:tab w:val="left" w:pos="567" w:leader="none"/>
        </w:tabs>
        <w:ind w:left="567" w:hanging="633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 xml:space="preserve">Клиент несет ответственность за все операции, совершенные с помощью Счета\Токена, за исключением случаев, предусмотренных условиями Договора и положениями действующего законодательства РФ. </w:t>
      </w:r>
    </w:p>
    <w:p>
      <w:pPr>
        <w:pStyle w:val="Normal"/>
        <w:spacing w:lineRule="auto" w:line="256" w:before="0" w:after="11"/>
        <w:ind w:left="0" w:hanging="0"/>
        <w:jc w:val="left"/>
        <w:rPr>
          <w:rFonts w:ascii="Calibri" w:hAnsi="Calibri" w:cs="Calibri"/>
          <w:sz w:val="22"/>
          <w:lang w:val="ru-RU"/>
        </w:rPr>
      </w:pPr>
      <w:r>
        <w:rPr>
          <w:rFonts w:eastAsia="Calibri" w:cs="Calibri" w:ascii="Calibri" w:hAnsi="Calibri"/>
          <w:sz w:val="22"/>
          <w:lang w:val="ru-RU"/>
        </w:rPr>
        <w:t xml:space="preserve"> </w:t>
      </w:r>
    </w:p>
    <w:p>
      <w:pPr>
        <w:pStyle w:val="Heading1"/>
        <w:numPr>
          <w:ilvl w:val="0"/>
          <w:numId w:val="3"/>
        </w:numPr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 xml:space="preserve">ПРАВА И ОБЯЗАННОСТИ СТОРОН </w:t>
      </w:r>
    </w:p>
    <w:p>
      <w:pPr>
        <w:pStyle w:val="Normal"/>
        <w:numPr>
          <w:ilvl w:val="1"/>
          <w:numId w:val="3"/>
        </w:numPr>
        <w:tabs>
          <w:tab w:val="left" w:pos="567" w:leader="none"/>
        </w:tabs>
        <w:ind w:left="567" w:hanging="633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 xml:space="preserve">Банк вправе: </w:t>
      </w:r>
    </w:p>
    <w:p>
      <w:pPr>
        <w:pStyle w:val="Normal"/>
        <w:numPr>
          <w:ilvl w:val="0"/>
          <w:numId w:val="2"/>
        </w:numPr>
        <w:ind w:left="1134" w:hanging="425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 xml:space="preserve">в любое время прекратить сотрудничество с Провайдером; </w:t>
      </w:r>
    </w:p>
    <w:p>
      <w:pPr>
        <w:pStyle w:val="Normal"/>
        <w:numPr>
          <w:ilvl w:val="0"/>
          <w:numId w:val="2"/>
        </w:numPr>
        <w:ind w:left="1134" w:hanging="425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 xml:space="preserve">приостановить возможность использования Счета для совершения операций СБП с использованием SBPay; </w:t>
      </w:r>
    </w:p>
    <w:p>
      <w:pPr>
        <w:pStyle w:val="Normal"/>
        <w:numPr>
          <w:ilvl w:val="0"/>
          <w:numId w:val="2"/>
        </w:numPr>
        <w:ind w:left="1134" w:hanging="425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 xml:space="preserve">Указанные выше действия Банк вправе предпринять без предварительного уведомления Клиента в случае, если Клиент не выполняет настоящие Условия и/или нарушает условия Договора, а также в иных случаях по усмотрению Банка. </w:t>
      </w:r>
    </w:p>
    <w:p>
      <w:pPr>
        <w:pStyle w:val="Normal"/>
        <w:numPr>
          <w:ilvl w:val="0"/>
          <w:numId w:val="2"/>
        </w:numPr>
        <w:ind w:left="1134" w:hanging="425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 xml:space="preserve">изменять настоящие Условия в любое время без предварительного уведомления Клиентов. Клиент соглашается со всеми изменениями, если он продолжает использование Счета в SBPay. Если Клиент не согласен принять изменения настоящих Условий, он должен удалить все Счета из SBPay.  Изменения Условий становятся обязательными для сторон в даты их вступления в силу. </w:t>
      </w:r>
    </w:p>
    <w:p>
      <w:pPr>
        <w:pStyle w:val="Normal"/>
        <w:numPr>
          <w:ilvl w:val="1"/>
          <w:numId w:val="3"/>
        </w:numPr>
        <w:tabs>
          <w:tab w:val="left" w:pos="567" w:leader="none"/>
        </w:tabs>
        <w:ind w:left="567" w:hanging="633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 xml:space="preserve">Банк обязан: </w:t>
      </w:r>
    </w:p>
    <w:p>
      <w:pPr>
        <w:pStyle w:val="Normal"/>
        <w:numPr>
          <w:ilvl w:val="0"/>
          <w:numId w:val="2"/>
        </w:numPr>
        <w:ind w:left="1134" w:hanging="425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 xml:space="preserve">обеспечить круглосуточный прием уведомлений Клиента о необходимости блокирования Токена по телефонам Банка или через Систему ДБО, и незамедлительно по факту обращения Клиента осуществлять блокирование соответствующего Токена. </w:t>
      </w:r>
    </w:p>
    <w:p>
      <w:pPr>
        <w:pStyle w:val="Normal"/>
        <w:numPr>
          <w:ilvl w:val="1"/>
          <w:numId w:val="3"/>
        </w:numPr>
        <w:tabs>
          <w:tab w:val="left" w:pos="567" w:leader="none"/>
        </w:tabs>
        <w:ind w:left="567" w:hanging="633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 xml:space="preserve">Клиент вправе: </w:t>
      </w:r>
    </w:p>
    <w:p>
      <w:pPr>
        <w:pStyle w:val="Normal"/>
        <w:numPr>
          <w:ilvl w:val="0"/>
          <w:numId w:val="2"/>
        </w:numPr>
        <w:ind w:left="1134" w:hanging="425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 xml:space="preserve">инициировать формирование Токенов и удалять Токены через SBPay; </w:t>
      </w:r>
    </w:p>
    <w:p>
      <w:pPr>
        <w:pStyle w:val="Normal"/>
        <w:numPr>
          <w:ilvl w:val="0"/>
          <w:numId w:val="2"/>
        </w:numPr>
        <w:ind w:left="1134" w:hanging="425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 xml:space="preserve">обращаться в Банк с заявлениями, в том числе при возникновении споров, связанных с операциями, совершенными с использованием SBPay. Заявления Клиента рассматриваются Банком в сроки и в порядке, установленные Правилами; </w:t>
      </w:r>
    </w:p>
    <w:p>
      <w:pPr>
        <w:pStyle w:val="Normal"/>
        <w:numPr>
          <w:ilvl w:val="0"/>
          <w:numId w:val="2"/>
        </w:numPr>
        <w:ind w:left="1134" w:hanging="425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 xml:space="preserve">в случае необходимости инициировать оформление нового Токена к тому же Счету на ином Мобильном устройстве. </w:t>
      </w:r>
    </w:p>
    <w:p>
      <w:pPr>
        <w:pStyle w:val="Normal"/>
        <w:numPr>
          <w:ilvl w:val="1"/>
          <w:numId w:val="3"/>
        </w:numPr>
        <w:tabs>
          <w:tab w:val="left" w:pos="567" w:leader="none"/>
        </w:tabs>
        <w:ind w:left="567" w:hanging="633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 xml:space="preserve">Клиент обязан: </w:t>
      </w:r>
    </w:p>
    <w:p>
      <w:pPr>
        <w:pStyle w:val="Normal"/>
        <w:numPr>
          <w:ilvl w:val="0"/>
          <w:numId w:val="2"/>
        </w:numPr>
        <w:ind w:left="1134" w:hanging="425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 xml:space="preserve">соблюдать положения настоящих Условий, в том числе требования к безопасности использования Мобильного устройства, на котором хранится Токен; </w:t>
      </w:r>
    </w:p>
    <w:p>
      <w:pPr>
        <w:pStyle w:val="Normal"/>
        <w:numPr>
          <w:ilvl w:val="0"/>
          <w:numId w:val="2"/>
        </w:numPr>
        <w:ind w:left="1134" w:hanging="425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 xml:space="preserve">в случае утраты Мобильного устройства или несанкционированного использования Токена - незамедлительно обратиться в Банк для блокирования Токенов, содержащихся на утраченном Мобильном устройстве. Уведомление считается полученным в момент подтверждения Банком факта блокирования Токена. В данном случае Банк блокирует только тот Токен, который хранился на указанном Мобильном устройстве. </w:t>
      </w:r>
    </w:p>
    <w:p>
      <w:pPr>
        <w:pStyle w:val="Normal"/>
        <w:spacing w:lineRule="auto" w:line="256" w:before="0" w:after="16"/>
        <w:ind w:left="360" w:hanging="0"/>
        <w:jc w:val="left"/>
        <w:rPr>
          <w:rFonts w:ascii="Calibri" w:hAnsi="Calibri" w:cs="Calibri"/>
          <w:sz w:val="22"/>
          <w:lang w:val="ru-RU"/>
        </w:rPr>
      </w:pPr>
      <w:r>
        <w:rPr>
          <w:rFonts w:eastAsia="Calibri" w:cs="Calibri" w:ascii="Calibri" w:hAnsi="Calibri"/>
          <w:b/>
          <w:sz w:val="22"/>
          <w:lang w:val="ru-RU"/>
        </w:rPr>
        <w:t xml:space="preserve"> </w:t>
      </w:r>
    </w:p>
    <w:p>
      <w:pPr>
        <w:pStyle w:val="Heading1"/>
        <w:numPr>
          <w:ilvl w:val="0"/>
          <w:numId w:val="3"/>
        </w:numPr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 xml:space="preserve">ЗАКЛЮЧИТЕЛЬНЫЕ ПОЛОЖЕНИЯ  </w:t>
      </w:r>
    </w:p>
    <w:p>
      <w:pPr>
        <w:pStyle w:val="Normal"/>
        <w:numPr>
          <w:ilvl w:val="1"/>
          <w:numId w:val="3"/>
        </w:numPr>
        <w:tabs>
          <w:tab w:val="left" w:pos="567" w:leader="none"/>
        </w:tabs>
        <w:ind w:left="567" w:hanging="633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 xml:space="preserve">Заключая Соглашение, Клиент понимает и согласен с тем, что: </w:t>
      </w:r>
    </w:p>
    <w:p>
      <w:pPr>
        <w:pStyle w:val="Normal"/>
        <w:numPr>
          <w:ilvl w:val="0"/>
          <w:numId w:val="2"/>
        </w:numPr>
        <w:ind w:left="1134" w:hanging="425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 xml:space="preserve">получение услуг осуществляется через сеть Интернет, которая является не безопасным каналом связи; </w:t>
      </w:r>
    </w:p>
    <w:p>
      <w:pPr>
        <w:pStyle w:val="Normal"/>
        <w:numPr>
          <w:ilvl w:val="0"/>
          <w:numId w:val="2"/>
        </w:numPr>
        <w:ind w:left="1134" w:hanging="425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 xml:space="preserve">Банк не несет ответственности за риски, связанные с подключением мобильных устройств Клиента к сети Интернет, возможным нарушением конфиденциальности и целостности информации при работе через сеть Интернет; </w:t>
      </w:r>
    </w:p>
    <w:p>
      <w:pPr>
        <w:pStyle w:val="Normal"/>
        <w:numPr>
          <w:ilvl w:val="0"/>
          <w:numId w:val="2"/>
        </w:numPr>
        <w:ind w:left="1134" w:hanging="425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 xml:space="preserve">работоспособность SBPay (в том числе при совершении Операций СБП) зависит от Провайдера; </w:t>
      </w:r>
    </w:p>
    <w:p>
      <w:pPr>
        <w:pStyle w:val="Normal"/>
        <w:numPr>
          <w:ilvl w:val="0"/>
          <w:numId w:val="2"/>
        </w:numPr>
        <w:ind w:left="1134" w:hanging="425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 xml:space="preserve">Банк не контролирует и не влияет на предоставление и использование беспроводных сетей связи; </w:t>
      </w:r>
    </w:p>
    <w:p>
      <w:pPr>
        <w:pStyle w:val="Normal"/>
        <w:numPr>
          <w:ilvl w:val="0"/>
          <w:numId w:val="2"/>
        </w:numPr>
        <w:ind w:left="1134" w:hanging="425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 xml:space="preserve">Банк не гарантирует конфиденциальность и безопасность хранения и передачи данных через сеть Провайдера, которая находится вне контроля Банка. </w:t>
      </w:r>
    </w:p>
    <w:p>
      <w:pPr>
        <w:pStyle w:val="Normal"/>
        <w:numPr>
          <w:ilvl w:val="1"/>
          <w:numId w:val="3"/>
        </w:numPr>
        <w:tabs>
          <w:tab w:val="left" w:pos="567" w:leader="none"/>
        </w:tabs>
        <w:ind w:left="567" w:hanging="633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 xml:space="preserve">Заключая Соглашение, Клиент соглашается с тем, что Банк вправе собирать, использовать и передавать информацию о Клиенте, в том числе информацию, относящуюся к Счету, Токену и совершению Операций СБП, а также обмениваться данной информацией с Провайдером и Платежной системой в следующих целях: </w:t>
      </w:r>
    </w:p>
    <w:p>
      <w:pPr>
        <w:pStyle w:val="Normal"/>
        <w:numPr>
          <w:ilvl w:val="0"/>
          <w:numId w:val="2"/>
        </w:numPr>
        <w:ind w:left="1134" w:hanging="425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 xml:space="preserve">для подтверждения личности Клиента; </w:t>
      </w:r>
    </w:p>
    <w:p>
      <w:pPr>
        <w:pStyle w:val="Normal"/>
        <w:numPr>
          <w:ilvl w:val="0"/>
          <w:numId w:val="2"/>
        </w:numPr>
        <w:ind w:left="1134" w:hanging="425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 xml:space="preserve">для формирования / блокирования / разблокирования / удаления Токена; </w:t>
      </w:r>
    </w:p>
    <w:p>
      <w:pPr>
        <w:pStyle w:val="Normal"/>
        <w:numPr>
          <w:ilvl w:val="0"/>
          <w:numId w:val="2"/>
        </w:numPr>
        <w:ind w:left="1134" w:hanging="425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 xml:space="preserve">для передачи / получения информации о совершенных Клиентом Операциях и осуществления по указанным Операциям расчетов; </w:t>
      </w:r>
    </w:p>
    <w:p>
      <w:pPr>
        <w:pStyle w:val="Normal"/>
        <w:numPr>
          <w:ilvl w:val="0"/>
          <w:numId w:val="2"/>
        </w:numPr>
        <w:ind w:left="1134" w:hanging="425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 xml:space="preserve">для содействия Провайдеру в повышении безопасности и улучшении работы SBPay при выполнении своих обязательств и реализации своих прав в соответствии с соглашениями, заключенными с Провайдером и Платежной системой. Банк вправе обобщать информацию о Клиентах или делать ее обезличенной; </w:t>
      </w:r>
    </w:p>
    <w:p>
      <w:pPr>
        <w:pStyle w:val="Normal"/>
        <w:numPr>
          <w:ilvl w:val="0"/>
          <w:numId w:val="2"/>
        </w:numPr>
        <w:ind w:left="1134" w:hanging="425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 xml:space="preserve">для повышения безопасности оказываемых услуг и предотвращения мошенничества. </w:t>
      </w:r>
    </w:p>
    <w:p>
      <w:pPr>
        <w:pStyle w:val="Normal"/>
        <w:numPr>
          <w:ilvl w:val="0"/>
          <w:numId w:val="2"/>
        </w:numPr>
        <w:ind w:left="1134" w:hanging="425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 xml:space="preserve">по запросам правоохранительных органов, в случаях предусмотренных законодательством РФ. </w:t>
      </w:r>
    </w:p>
    <w:p>
      <w:pPr>
        <w:pStyle w:val="Normal"/>
        <w:numPr>
          <w:ilvl w:val="1"/>
          <w:numId w:val="3"/>
        </w:numPr>
        <w:tabs>
          <w:tab w:val="left" w:pos="567" w:leader="none"/>
        </w:tabs>
        <w:ind w:left="567" w:hanging="633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 xml:space="preserve">Стороны договорились, что все Операции СБП, совершенные с использованием Токена, не могут быть заявлены Клиентом как совершенные без его ведома, и согласия и оспорены им как неправомерные, так как совершение Операций указанным способом неуполномоченным Клиентом лицом является следствием нарушения Клиентом настоящих Условий. </w:t>
      </w:r>
    </w:p>
    <w:p>
      <w:pPr>
        <w:pStyle w:val="Normal"/>
        <w:numPr>
          <w:ilvl w:val="1"/>
          <w:numId w:val="3"/>
        </w:numPr>
        <w:tabs>
          <w:tab w:val="left" w:pos="567" w:leader="none"/>
        </w:tabs>
        <w:ind w:left="567" w:hanging="633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 xml:space="preserve">Информация из аппаратно-программных комплексов Платежной системы, Банка и Провайдера может использоваться в качестве доказательств при рассмотрении споров, в том числе в судебном порядке. </w:t>
      </w:r>
    </w:p>
    <w:p>
      <w:pPr>
        <w:pStyle w:val="Normal"/>
        <w:numPr>
          <w:ilvl w:val="1"/>
          <w:numId w:val="3"/>
        </w:numPr>
        <w:tabs>
          <w:tab w:val="left" w:pos="567" w:leader="none"/>
        </w:tabs>
        <w:ind w:left="567" w:hanging="633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 xml:space="preserve">Отношения, возникающие у Клиентов с Провайдером, операторами услуг беспроводной связи, а также иными лицами, оказывающими услуги, доступные посредством использования SBPay, регулируются отдельными и самостоятельными соглашениями. </w:t>
      </w:r>
    </w:p>
    <w:p>
      <w:pPr>
        <w:pStyle w:val="Normal"/>
        <w:numPr>
          <w:ilvl w:val="1"/>
          <w:numId w:val="3"/>
        </w:numPr>
        <w:tabs>
          <w:tab w:val="left" w:pos="567" w:leader="none"/>
        </w:tabs>
        <w:ind w:left="567" w:hanging="633"/>
        <w:rPr>
          <w:rFonts w:ascii="Calibri" w:hAnsi="Calibri" w:cs="Calibri"/>
          <w:sz w:val="22"/>
          <w:lang w:val="ru-RU"/>
        </w:rPr>
      </w:pPr>
      <w:r>
        <w:rPr>
          <w:rFonts w:cs="Calibri" w:ascii="Calibri" w:hAnsi="Calibri"/>
          <w:sz w:val="22"/>
          <w:lang w:val="ru-RU"/>
        </w:rPr>
        <w:t xml:space="preserve">Во всем, что не предусмотрено настоящими Условиями (в том числе, в части осуществления расчетов по Операциям СБП, взимания Банком комиссий, предусмотренных Договором), Банк и Клиент руководствуются положениями Договора, стороны руководствуются законодательством Российской Федерации. </w:t>
      </w:r>
    </w:p>
    <w:p>
      <w:pPr>
        <w:pStyle w:val="Normal"/>
        <w:spacing w:lineRule="auto" w:line="256" w:before="0" w:after="0"/>
        <w:ind w:left="1286" w:hanging="0"/>
        <w:jc w:val="left"/>
        <w:rPr>
          <w:rFonts w:ascii="Calibri" w:hAnsi="Calibri" w:cs="Calibri"/>
          <w:sz w:val="22"/>
          <w:lang w:val="ru-RU"/>
        </w:rPr>
      </w:pPr>
      <w:r>
        <w:rPr>
          <w:rFonts w:eastAsia="Calibri" w:cs="Calibri" w:ascii="Calibri" w:hAnsi="Calibri"/>
          <w:sz w:val="22"/>
          <w:lang w:val="ru-RU"/>
        </w:rPr>
        <w:t xml:space="preserve"> </w:t>
      </w:r>
    </w:p>
    <w:sectPr>
      <w:footerReference w:type="default" r:id="rId3"/>
      <w:type w:val="nextPage"/>
      <w:pgSz w:w="11906" w:h="16838"/>
      <w:pgMar w:left="1134" w:right="707" w:header="0" w:top="428" w:footer="43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cc"/>
    <w:family w:val="swiss"/>
    <w:pitch w:val="variable"/>
  </w:font>
  <w:font w:name="Trebuchet MS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Calibri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spacing w:before="0" w:after="5"/>
      <w:jc w:val="right"/>
      <w:rPr>
        <w:rFonts w:ascii="Calibri" w:hAnsi="Calibri" w:cs="Calibri"/>
        <w:sz w:val="18"/>
        <w:szCs w:val="18"/>
      </w:rPr>
    </w:pPr>
    <w:r>
      <w:rPr>
        <w:rFonts w:cs="Calibri" w:ascii="Calibri" w:hAnsi="Calibri"/>
        <w:sz w:val="18"/>
        <w:szCs w:val="18"/>
      </w:rPr>
      <w:fldChar w:fldCharType="begin"/>
    </w:r>
    <w:r>
      <w:instrText> PAGE </w:instrText>
    </w:r>
    <w:r>
      <w:fldChar w:fldCharType="separate"/>
    </w:r>
    <w:r>
      <w:t>5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–"/>
      <w:lvlJc w:val="left"/>
      <w:pPr>
        <w:ind w:left="0" w:hanging="0"/>
      </w:pPr>
      <w:rPr>
        <w:rFonts w:ascii="Trebuchet MS" w:hAnsi="Trebuchet MS" w:cs="Trebuchet MS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cs="Trebuchet MS"/>
        <w:color w:val="000000"/>
        <w:lang w:val="ru-RU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>
        <w:rFonts w:cs="Calibri"/>
        <w:lang w:val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Calibri"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68" w:before="0" w:after="5"/>
      <w:ind w:left="10" w:hanging="10"/>
      <w:jc w:val="both"/>
    </w:pPr>
    <w:rPr>
      <w:rFonts w:ascii="Arial" w:hAnsi="Arial" w:eastAsia="Arial" w:cs="Arial"/>
      <w:color w:val="000000"/>
      <w:sz w:val="20"/>
      <w:szCs w:val="22"/>
      <w:lang w:val="en-US" w:bidi="ar-SA" w:eastAsia="zh-CN"/>
    </w:rPr>
  </w:style>
  <w:style w:type="paragraph" w:styleId="Heading1">
    <w:name w:val="Heading 1"/>
    <w:next w:val="Normal"/>
    <w:qFormat/>
    <w:pPr>
      <w:keepNext w:val="true"/>
      <w:keepLines/>
      <w:widowControl/>
      <w:numPr>
        <w:ilvl w:val="0"/>
        <w:numId w:val="1"/>
      </w:numPr>
      <w:spacing w:lineRule="auto" w:line="266" w:before="0" w:after="8"/>
      <w:ind w:left="370" w:hanging="10"/>
      <w:outlineLvl w:val="0"/>
    </w:pPr>
    <w:rPr>
      <w:rFonts w:ascii="Arial" w:hAnsi="Arial" w:eastAsia="Arial" w:cs="Arial"/>
      <w:b/>
      <w:color w:val="000000"/>
      <w:sz w:val="20"/>
      <w:szCs w:val="22"/>
      <w:lang w:val="en-US" w:bidi="ar-SA" w:eastAsia="zh-CN"/>
    </w:rPr>
  </w:style>
  <w:style w:type="character" w:styleId="WW8Num1z0">
    <w:name w:val="WW8Num1z0"/>
    <w:qFormat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shd w:fill="auto" w:val="clear"/>
      <w:vertAlign w:val="baseline"/>
    </w:rPr>
  </w:style>
  <w:style w:type="character" w:styleId="WW8Num2z0">
    <w:name w:val="WW8Num2z0"/>
    <w:qFormat/>
    <w:rPr>
      <w:rFonts w:ascii="Arial" w:hAnsi="Arial" w:eastAsia="Arial" w:cs="Arial"/>
      <w:b/>
      <w:bCs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shd w:fill="auto" w:val="clear"/>
      <w:vertAlign w:val="baseline"/>
    </w:rPr>
  </w:style>
  <w:style w:type="character" w:styleId="WW8Num2z1">
    <w:name w:val="WW8Num2z1"/>
    <w:qFormat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shd w:fill="auto" w:val="clear"/>
      <w:vertAlign w:val="baseline"/>
    </w:rPr>
  </w:style>
  <w:style w:type="character" w:styleId="WW8Num3z0">
    <w:name w:val="WW8Num3z0"/>
    <w:qFormat/>
    <w:rPr>
      <w:rFonts w:ascii="Trebuchet MS" w:hAnsi="Trebuchet MS" w:eastAsia="Trebuchet MS" w:cs="Trebuchet MS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shd w:fill="auto" w:val="clear"/>
      <w:vertAlign w:val="baseline"/>
    </w:rPr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Arial" w:hAnsi="Arial" w:eastAsia="Arial" w:cs="Arial"/>
      <w:b w:val="false"/>
      <w:i w:val="false"/>
      <w:strike w:val="false"/>
      <w:dstrike w:val="false"/>
      <w:color w:val="000000"/>
      <w:position w:val="0"/>
      <w:sz w:val="20"/>
      <w:sz w:val="20"/>
      <w:szCs w:val="20"/>
      <w:u w:val="none" w:color="000000"/>
      <w:shd w:fill="auto" w:val="clear"/>
      <w:vertAlign w:val="baseline"/>
    </w:rPr>
  </w:style>
  <w:style w:type="character" w:styleId="WW8Num6z0">
    <w:name w:val="WW8Num6z0"/>
    <w:qFormat/>
    <w:rPr>
      <w:rFonts w:ascii="Trebuchet MS" w:hAnsi="Trebuchet MS" w:eastAsia="Trebuchet MS" w:cs="Trebuchet MS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shd w:fill="auto" w:val="clear"/>
      <w:vertAlign w:val="baseline"/>
      <w:lang w:val="ru-RU"/>
    </w:rPr>
  </w:style>
  <w:style w:type="character" w:styleId="WW8Num7z0">
    <w:name w:val="WW8Num7z0"/>
    <w:qFormat/>
    <w:rPr>
      <w:rFonts w:ascii="Trebuchet MS" w:hAnsi="Trebuchet MS" w:eastAsia="Trebuchet MS" w:cs="Trebuchet MS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shd w:fill="auto" w:val="clear"/>
      <w:vertAlign w:val="baseline"/>
    </w:rPr>
  </w:style>
  <w:style w:type="character" w:styleId="WW8Num8z0">
    <w:name w:val="WW8Num8z0"/>
    <w:qFormat/>
    <w:rPr>
      <w:rFonts w:cs="Calibri"/>
      <w:lang w:val="ru-RU"/>
    </w:rPr>
  </w:style>
  <w:style w:type="character" w:styleId="WW8Num8z1">
    <w:name w:val="WW8Num8z1"/>
    <w:qFormat/>
    <w:rPr>
      <w:rFonts w:cs="Calibri"/>
      <w:lang w:val="ru-RU"/>
    </w:rPr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Style13">
    <w:name w:val="Основной шрифт абзаца"/>
    <w:qFormat/>
    <w:rPr/>
  </w:style>
  <w:style w:type="character" w:styleId="1">
    <w:name w:val="Заголовок 1 Знак"/>
    <w:qFormat/>
    <w:rPr>
      <w:rFonts w:ascii="Arial" w:hAnsi="Arial" w:eastAsia="Arial" w:cs="Arial"/>
      <w:b/>
      <w:color w:val="000000"/>
      <w:sz w:val="20"/>
    </w:rPr>
  </w:style>
  <w:style w:type="character" w:styleId="Style14">
    <w:name w:val="Верхний колонтитул Знак"/>
    <w:qFormat/>
    <w:rPr>
      <w:rFonts w:ascii="Arial" w:hAnsi="Arial" w:eastAsia="Arial" w:cs="Arial"/>
      <w:color w:val="000000"/>
      <w:szCs w:val="22"/>
      <w:lang w:val="en-US"/>
    </w:rPr>
  </w:style>
  <w:style w:type="character" w:styleId="Style15">
    <w:name w:val="Нижний колонтитул Знак"/>
    <w:qFormat/>
    <w:rPr>
      <w:rFonts w:ascii="Arial" w:hAnsi="Arial" w:eastAsia="Arial" w:cs="Arial"/>
      <w:color w:val="000000"/>
      <w:szCs w:val="22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enter" w:pos="4677" w:leader="none"/>
        <w:tab w:val="right" w:pos="9355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2022-03-18T16:49:00Z</dcterms:created>
  <dc:creator/>
  <dc:description/>
  <dc:language>ru-RU</dc:language>
  <cp:lastModifiedBy/>
  <dcterms:modified xsi:type="dcterms:W3CDTF">2022-03-18T16:49:00Z</dcterms:modified>
  <cp:revision>2</cp:revision>
  <dc:subject/>
  <dc:title/>
</cp:coreProperties>
</file>